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w:drawing>
          <wp:inline distB="0" distT="0" distL="0" distR="0">
            <wp:extent cx="1790700" cy="666750"/>
            <wp:effectExtent b="0" l="0" r="0" t="0"/>
            <wp:docPr descr="A logo with mountains in the background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logo with mountains in the background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President’s Diversity, Equity, and Inclusion (DEI) Board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Staff Recruitment, Retention, and Development Subcommittee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Tuesday, 1/24/24 from 3:30pm – 4:30pm</w:t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(Zoom Meeting Link: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https://csusb.zoom.us/my/deihumanresources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6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MEETING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Participants: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br w:type="textWrapping"/>
      </w:r>
    </w:p>
    <w:tbl>
      <w:tblPr>
        <w:tblStyle w:val="Table1"/>
        <w:tblW w:w="100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130"/>
        <w:gridCol w:w="4965"/>
        <w:tblGridChange w:id="0">
          <w:tblGrid>
            <w:gridCol w:w="5130"/>
            <w:gridCol w:w="4965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 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Robin Phillips, Steering Committee Liaison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 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Tiffany Bookman, Subcommittee Member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  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Sam Sudhakar, Steering Committee Liaison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David Hou, Subcommittee Member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  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Michaela Watkins, Chair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 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Kalie King, Subcommittee Member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  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 Rowena Woidyla, Vice Chair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  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Pamela Moses, ACC/Assessment Representative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  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Cheryl Halk, Student/Subcommittee Member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​ 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LeSondra Jones, Subcommittee Member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 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Michelle Bell, Subcommittee 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MEETING AGENDA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1) Announcements (0 minutes) – Provided by Chair, Michaela Watkins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No new announcements at this time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New Discussion ( minutes) – Led by Chair, Michaela Watkins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Shared Inclusion Day ‘swag’ options with liaisons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B) Shared Inclusion Day flyer option with liaisons</w:t>
        <w:br w:type="textWrapping"/>
        <w:t xml:space="preserve">C) Shared Inclusion Day location details with liaisons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D) Reviewed Inclusion Day objectives for staff and the President’s Strategic Plan with liaisons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Action Item ( minutes)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Received guiding feedback from liaisons on the above “new discussion” items.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4) Steering Committee Liaisons Closing 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Liaisons shared their guiding feedback on the above “new discussion” items.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5) Future Meetings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A) Upcoming February 2024 Meetings will be for members who are creating/leading/co-leading facilitation sessions for Inclusion Day.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susb.zoom.us/my/deihumanresourc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